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Бекетовой Н.И.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истца, третьего лица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t>№2-664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Курячего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</w:t>
      </w:r>
      <w:r>
        <w:rPr>
          <w:rFonts w:ascii="Times New Roman" w:eastAsia="Times New Roman" w:hAnsi="Times New Roman" w:cs="Times New Roman"/>
          <w:sz w:val="28"/>
          <w:szCs w:val="28"/>
        </w:rPr>
        <w:t>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(паспорт серии </w:t>
      </w:r>
      <w:r>
        <w:rPr>
          <w:rStyle w:val="cat-UserDefinedgrp-1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>Шашкову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Олегу Олеговичу (паспорт серии </w:t>
      </w:r>
      <w:r>
        <w:rPr>
          <w:rStyle w:val="cat-UserDefinedgrp-1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третье лицо </w:t>
      </w:r>
      <w:r>
        <w:rPr>
          <w:rFonts w:ascii="Times New Roman" w:eastAsia="Times New Roman" w:hAnsi="Times New Roman" w:cs="Times New Roman"/>
          <w:sz w:val="28"/>
          <w:szCs w:val="28"/>
        </w:rPr>
        <w:t>Муталапова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Л.В., о взыскании денежных средств, внесенных в качестве задатка за квартиру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ст.ст.194-199 ГПК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Курячего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</w:t>
      </w:r>
      <w:r>
        <w:rPr>
          <w:rFonts w:ascii="Times New Roman" w:eastAsia="Times New Roman" w:hAnsi="Times New Roman" w:cs="Times New Roman"/>
          <w:sz w:val="28"/>
          <w:szCs w:val="28"/>
        </w:rPr>
        <w:t>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(паспорт серии </w:t>
      </w:r>
      <w:r>
        <w:rPr>
          <w:rStyle w:val="cat-UserDefinedgrp-16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к </w:t>
      </w:r>
      <w:r>
        <w:rPr>
          <w:rFonts w:ascii="Times New Roman" w:eastAsia="Times New Roman" w:hAnsi="Times New Roman" w:cs="Times New Roman"/>
          <w:sz w:val="28"/>
          <w:szCs w:val="28"/>
        </w:rPr>
        <w:t>Шашкову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Олегу Олеговичу (паспорт серии </w:t>
      </w:r>
      <w:r>
        <w:rPr>
          <w:rStyle w:val="cat-UserDefinedgrp-16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третье лицо </w:t>
      </w:r>
      <w:r>
        <w:rPr>
          <w:rFonts w:ascii="Times New Roman" w:eastAsia="Times New Roman" w:hAnsi="Times New Roman" w:cs="Times New Roman"/>
          <w:sz w:val="28"/>
          <w:szCs w:val="28"/>
        </w:rPr>
        <w:t>Муталапова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Л.В., о взыскании денежных средств, внесенных в качестве задатка за квартиру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Шашкова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Курячего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 в размере </w:t>
      </w:r>
      <w:r>
        <w:rPr>
          <w:rStyle w:val="cat-Sumgrp-11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, уплаченные в качестве задатка за квартиру.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Шашкова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Олеговича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Курячего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Владислава </w:t>
      </w:r>
      <w:r>
        <w:rPr>
          <w:rFonts w:ascii="Times New Roman" w:eastAsia="Times New Roman" w:hAnsi="Times New Roman" w:cs="Times New Roman"/>
          <w:sz w:val="28"/>
          <w:szCs w:val="28"/>
        </w:rPr>
        <w:t>Викторовича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по оплате государственной пошлины в размере </w:t>
      </w:r>
      <w:r>
        <w:rPr>
          <w:rStyle w:val="cat-Sumgrp-12rplc-33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Ханты-Мансийский районный суд путем подачи жалобы мировому судье в течение месяца со дня принятия мировым судьей решения.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widowControl w:val="0"/>
        <w:spacing w:before="0" w:after="0"/>
        <w:jc w:val="both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9">
    <w:name w:val="cat-UserDefined grp-16 rplc-9"/>
    <w:basedOn w:val="DefaultParagraphFont"/>
  </w:style>
  <w:style w:type="character" w:customStyle="1" w:styleId="cat-UserDefinedgrp-16rplc-14">
    <w:name w:val="cat-UserDefined grp-16 rplc-14"/>
    <w:basedOn w:val="DefaultParagraphFont"/>
  </w:style>
  <w:style w:type="character" w:customStyle="1" w:styleId="cat-UserDefinedgrp-16rplc-20">
    <w:name w:val="cat-UserDefined grp-16 rplc-20"/>
    <w:basedOn w:val="DefaultParagraphFont"/>
  </w:style>
  <w:style w:type="character" w:customStyle="1" w:styleId="cat-UserDefinedgrp-16rplc-25">
    <w:name w:val="cat-UserDefined grp-16 rplc-25"/>
    <w:basedOn w:val="DefaultParagraphFont"/>
  </w:style>
  <w:style w:type="character" w:customStyle="1" w:styleId="cat-Sumgrp-11rplc-30">
    <w:name w:val="cat-Sum grp-11 rplc-30"/>
    <w:basedOn w:val="DefaultParagraphFont"/>
  </w:style>
  <w:style w:type="character" w:customStyle="1" w:styleId="cat-Sumgrp-12rplc-33">
    <w:name w:val="cat-Sum grp-12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